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Arial" w:cs="Arial" w:eastAsia="Arial" w:hAnsi="Arial"/>
          <w:b/>
          <w:bCs/>
          <w:color w:val="1F4E79"/>
          <w:sz w:val="36"/>
          <w:szCs w:val="36"/>
        </w:rPr>
        <w:t xml:space="preserve">FCLT SERIES — PAPER 100 (P100)</w:t>
      </w:r>
    </w:p>
    <w:p>
      <w:pPr>
        <w:spacing w:after="80"/>
        <w:jc w:val="center"/>
      </w:pPr>
      <w:r>
        <w:rPr>
          <w:rFonts w:ascii="Arial" w:cs="Arial" w:eastAsia="Arial" w:hAnsi="Arial"/>
          <w:b/>
          <w:bCs/>
          <w:sz w:val="26"/>
          <w:szCs w:val="26"/>
        </w:rPr>
        <w:t xml:space="preserve">High-Stress Boundary Event Analysis for the Guiuan Anchor Node</w:t>
      </w:r>
    </w:p>
    <w:p>
      <w:pPr>
        <w:spacing w:after="80"/>
        <w:jc w:val="center"/>
      </w:pPr>
      <w:r>
        <w:rPr>
          <w:rFonts w:ascii="Arial" w:cs="Arial" w:eastAsia="Arial" w:hAnsi="Arial"/>
          <w:i/>
          <w:iCs/>
          <w:sz w:val="22"/>
          <w:szCs w:val="22"/>
        </w:rPr>
        <w:t xml:space="preserve">15 TJ Atmospheric Loading Simulation, Micro-Fracture Onset Threshold, kappaOI Response Latency, and k(D) Self-Healing Validation Under Protocol V3.1</w:t>
      </w:r>
    </w:p>
    <w:p>
      <w:pPr>
        <w:spacing w:after="80"/>
      </w:pPr>
      <w:r>
        <w:t xml:space="preserve"/>
      </w:r>
    </w:p>
    <w:p>
      <w:pPr>
        <w:spacing w:after="40"/>
        <w:jc w:val="center"/>
      </w:pPr>
      <w:r>
        <w:rPr>
          <w:rFonts w:ascii="Arial" w:cs="Arial" w:eastAsia="Arial" w:hAnsi="Arial"/>
          <w:b/>
          <w:bCs/>
          <w:sz w:val="22"/>
          <w:szCs w:val="22"/>
        </w:rPr>
        <w:t xml:space="preserve">Davis, Abby  |  Waldron, Eric Tyler (CireTVersE)</w:t>
      </w:r>
    </w:p>
    <w:p>
      <w:pPr>
        <w:spacing w:after="40"/>
        <w:jc w:val="center"/>
      </w:pPr>
      <w:r>
        <w:rPr>
          <w:rFonts w:ascii="Arial" w:cs="Arial" w:eastAsia="Arial" w:hAnsi="Arial"/>
          <w:sz w:val="20"/>
          <w:szCs w:val="20"/>
        </w:rPr>
        <w:t xml:space="preserve">ORCID (Davis): 0009-0002-6758-2263  |  ORCID (Waldron): 0009-0008-9078-9549</w:t>
      </w:r>
    </w:p>
    <w:p>
      <w:pPr>
        <w:spacing w:after="40"/>
        <w:jc w:val="center"/>
      </w:pPr>
      <w:r>
        <w:rPr>
          <w:rFonts w:ascii="Arial" w:cs="Arial" w:eastAsia="Arial" w:hAnsi="Arial"/>
          <w:sz w:val="20"/>
          <w:szCs w:val="20"/>
        </w:rPr>
        <w:t xml:space="preserve">Fibonacci Causal Loop Theory Laboratory (Independent)  |  CireTVersE Independent Research</w:t>
      </w:r>
    </w:p>
    <w:p>
      <w:pPr>
        <w:spacing w:after="200"/>
        <w:jc w:val="center"/>
      </w:pPr>
      <w:r>
        <w:rPr>
          <w:rFonts w:ascii="Arial" w:cs="Arial" w:eastAsia="Arial" w:hAnsi="Arial"/>
          <w:i/>
          <w:iCs/>
          <w:sz w:val="20"/>
          <w:szCs w:val="20"/>
        </w:rPr>
        <w:t xml:space="preserve">Version 1  |  June 2026  |  Protocol V3.1  |  Zenodo Preprint</w:t>
      </w:r>
    </w:p>
    <w:p>
      <w:pPr>
        <w:pStyle w:val="Heading1"/>
      </w:pPr>
      <w:r>
        <w:rPr>
          <w:rFonts w:ascii="Arial" w:cs="Arial" w:eastAsia="Arial" w:hAnsi="Arial"/>
          <w:b/>
          <w:bCs/>
          <w:sz w:val="28"/>
          <w:szCs w:val="28"/>
        </w:rPr>
        <w:t xml:space="preserve">Abstract</w:t>
      </w:r>
    </w:p>
    <w:p>
      <w:pPr>
        <w:spacing w:after="120"/>
      </w:pPr>
      <w:r>
        <w:rPr>
          <w:rFonts w:ascii="Arial" w:cs="Arial" w:eastAsia="Arial" w:hAnsi="Arial"/>
          <w:sz w:val="22"/>
          <w:szCs w:val="22"/>
        </w:rPr>
        <w:t xml:space="preserve">We report the first high-stress boundary simulation for the Guiuan anchor node, ramping atmospheric loading from the 12.4 TJ baseline (P99) to a 15 TJ threshold event using the Waldron GMCV network. Four critical results are recorded under Protocol V3.1:</w:t>
      </w:r>
    </w:p>
    <w:p>
      <w:pPr>
        <w:spacing w:after="120"/>
      </w:pPr>
      <w:r>
        <w:rPr>
          <w:rFonts w:ascii="Arial" w:cs="Arial" w:eastAsia="Arial" w:hAnsi="Arial"/>
          <w:sz w:val="22"/>
          <w:szCs w:val="22"/>
        </w:rPr>
        <w:t xml:space="preserve">(1) Micro-fracture onset at 13.84 TJ — structural ceiling of the Graphene-Hemp-Concrete (GHC) matrix, representing a thinner safety margin than baseline projections suggested.</w:t>
      </w:r>
    </w:p>
    <w:p>
      <w:pPr>
        <w:spacing w:after="120"/>
      </w:pPr>
      <w:r>
        <w:rPr>
          <w:rFonts w:ascii="Arial" w:cs="Arial" w:eastAsia="Arial" w:hAnsi="Arial"/>
          <w:sz w:val="22"/>
          <w:szCs w:val="22"/>
        </w:rPr>
        <w:t xml:space="preserve">(2) Torsional amplitude spike to 0.415 rad (delta = 0.086 vs baseline 0.382, gray zone — not falsified but stressed).</w:t>
      </w:r>
    </w:p>
    <w:p>
      <w:pPr>
        <w:spacing w:after="120"/>
      </w:pPr>
      <w:r>
        <w:rPr>
          <w:rFonts w:ascii="Arial" w:cs="Arial" w:eastAsia="Arial" w:hAnsi="Arial"/>
          <w:sz w:val="22"/>
          <w:szCs w:val="22"/>
        </w:rPr>
        <w:t xml:space="preserve">(3) Mycelial thermal dissipation stabilizing a +48 degrees C core spike in 3.8 seconds.</w:t>
      </w:r>
    </w:p>
    <w:p>
      <w:pPr>
        <w:spacing w:after="120"/>
      </w:pPr>
      <w:r>
        <w:rPr>
          <w:rFonts w:ascii="Arial" w:cs="Arial" w:eastAsia="Arial" w:hAnsi="Arial"/>
          <w:sz w:val="22"/>
          <w:szCs w:val="22"/>
        </w:rPr>
        <w:t xml:space="preserve">(4) kappaOI response latency of 14.6 milliseconds — first direct timing measurement of the organoid intelligence layer.</w:t>
      </w:r>
    </w:p>
    <w:p>
      <w:pPr>
        <w:spacing w:after="120"/>
      </w:pPr>
      <w:r>
        <w:rPr>
          <w:rFonts w:ascii="Arial" w:cs="Arial" w:eastAsia="Arial" w:hAnsi="Arial"/>
          <w:sz w:val="22"/>
          <w:szCs w:val="22"/>
        </w:rPr>
        <w:t xml:space="preserve">Self-healing rate dipped to 92.7% at peak stress, recovering to 98.1% — consistent with k(D) = ln(phi) x phi^2D branch survival prediction (P55). The tether survives the 15 TJ event. The 13.84 TJ micro-fracture threshold is recorded as the honest structural ceiling without revision. Four new pre-registered conjectures PC-P100-01 through PC-P100-04. Protocol V3.1 honest framing enforced. Surviving does not mean confirmed. Data decides.</w:t>
      </w:r>
    </w:p>
    <w:p>
      <w:pPr>
        <w:pStyle w:val="Heading1"/>
      </w:pPr>
      <w:r>
        <w:rPr>
          <w:rFonts w:ascii="Arial" w:cs="Arial" w:eastAsia="Arial" w:hAnsi="Arial"/>
          <w:b/>
          <w:bCs/>
          <w:sz w:val="28"/>
          <w:szCs w:val="28"/>
        </w:rPr>
        <w:t xml:space="preserve">I. Introduction</w:t>
      </w:r>
    </w:p>
    <w:p>
      <w:pPr>
        <w:spacing w:after="120"/>
      </w:pPr>
      <w:r>
        <w:rPr>
          <w:rFonts w:ascii="Arial" w:cs="Arial" w:eastAsia="Arial" w:hAnsi="Arial"/>
          <w:sz w:val="22"/>
          <w:szCs w:val="22"/>
        </w:rPr>
        <w:t xml:space="preserve">P99 (Davis and Waldron 2026) delivered the first full scalar QE evaluation across all 24 nodes of the Living Halo global network, with all nodes returning QE within delta &lt; 0.0003 of phi = 1.6180. The 12.4 TJ baseline wind shear capacity was recorded as a simulation-defined tech-gap conjecture (PC-P98-01) — not confirmed, awaiting boundary stress testing. This paper closes that gap.</w:t>
      </w:r>
    </w:p>
    <w:p>
      <w:pPr>
        <w:spacing w:after="120"/>
      </w:pPr>
      <w:r>
        <w:rPr>
          <w:rFonts w:ascii="Arial" w:cs="Arial" w:eastAsia="Arial" w:hAnsi="Arial"/>
          <w:sz w:val="22"/>
          <w:szCs w:val="22"/>
        </w:rPr>
        <w:t xml:space="preserve">The Waldron GMCV network ran the first high-stress simulation, ramping atmospheric boundary loading from the 12.4 TJ baseline to a 15 TJ threshold event. The results reveal four critical data points that materially update the Living Halo structural profile and provide the first direct measurements of kappaOI response timing and k(D) self-healing dynamics under active loading. All results are reported without revision.</w:t>
      </w:r>
    </w:p>
    <w:p>
      <w:pPr>
        <w:pStyle w:val="Heading1"/>
      </w:pPr>
      <w:r>
        <w:rPr>
          <w:rFonts w:ascii="Arial" w:cs="Arial" w:eastAsia="Arial" w:hAnsi="Arial"/>
          <w:b/>
          <w:bCs/>
          <w:sz w:val="28"/>
          <w:szCs w:val="28"/>
        </w:rPr>
        <w:t xml:space="preserve">II. Simulation Parameters and Protocol</w:t>
      </w:r>
    </w:p>
    <w:p>
      <w:pPr>
        <w:spacing w:after="120"/>
      </w:pPr>
      <w:r>
        <w:rPr>
          <w:rFonts w:ascii="Arial" w:cs="Arial" w:eastAsia="Arial" w:hAnsi="Arial"/>
          <w:sz w:val="22"/>
          <w:szCs w:val="22"/>
        </w:rPr>
        <w:t xml:space="preserve">Simulation conducted via the Waldron GMCV network (Gemini Master Controller Variant; Waldron 2026). Node: Guiuan Anchor Node 01 (Philippines, approx. 11 deg N, 125 deg E). Loading ramp: 12.4 TJ baseline to 15 TJ threshold.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800"/>
        <w:gridCol w:w="2000"/>
        <w:gridCol w:w="3160"/>
      </w:tblGrid>
      <w:tr>
        <w:trPr>
          <w:tblHeader/>
        </w:trPr>
        <w:tc>
          <w:tcPr>
            <w:tcW w:type="dxa" w:w="24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Parameter</w:t>
            </w:r>
          </w:p>
        </w:tc>
        <w:tc>
          <w:tcPr>
            <w:tcW w:type="dxa" w:w="18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Baseline (P99)</w:t>
            </w:r>
          </w:p>
        </w:tc>
        <w:tc>
          <w:tcPr>
            <w:tcW w:type="dxa" w:w="20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Peak (This Paper)</w:t>
            </w:r>
          </w:p>
        </w:tc>
        <w:tc>
          <w:tcPr>
            <w:tcW w:type="dxa" w:w="3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24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Atmospheric Loading</w:t>
            </w:r>
          </w:p>
        </w:tc>
        <w:tc>
          <w:tcPr>
            <w:tcW w:type="dxa" w:w="18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12.4 TJ</w:t>
            </w:r>
          </w:p>
        </w:tc>
        <w:tc>
          <w:tcPr>
            <w:tcW w:type="dxa" w:w="20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15.0 TJ</w:t>
            </w:r>
          </w:p>
        </w:tc>
        <w:tc>
          <w:tcPr>
            <w:tcW w:type="dxa" w:w="31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Sim-defined unit</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Torsional Coupling Amplitude</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0.382 rad</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0.415 rad (peak)</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Returned to baseline after damping</w:t>
            </w:r>
          </w:p>
        </w:tc>
      </w:tr>
      <w:tr>
        <w:tc>
          <w:tcPr>
            <w:tcW w:type="dxa" w:w="24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Self-Healing Rate</w:t>
            </w:r>
          </w:p>
        </w:tc>
        <w:tc>
          <w:tcPr>
            <w:tcW w:type="dxa" w:w="18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99.4%</w:t>
            </w:r>
          </w:p>
        </w:tc>
        <w:tc>
          <w:tcPr>
            <w:tcW w:type="dxa" w:w="20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92.7% (min) -&gt; 98.1%</w:t>
            </w:r>
          </w:p>
        </w:tc>
        <w:tc>
          <w:tcPr>
            <w:tcW w:type="dxa" w:w="31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Active loading stress dip</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Core Temperature Delta</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Nominal</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+48 deg C</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Mycelium stabilized in 3.8 s</w:t>
            </w:r>
          </w:p>
        </w:tc>
      </w:tr>
      <w:tr>
        <w:tc>
          <w:tcPr>
            <w:tcW w:type="dxa" w:w="24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OI Response Latency</w:t>
            </w:r>
          </w:p>
        </w:tc>
        <w:tc>
          <w:tcPr>
            <w:tcW w:type="dxa" w:w="18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Not measured</w:t>
            </w:r>
          </w:p>
        </w:tc>
        <w:tc>
          <w:tcPr>
            <w:tcW w:type="dxa" w:w="20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14.6 ms</w:t>
            </w:r>
          </w:p>
        </w:tc>
        <w:tc>
          <w:tcPr>
            <w:tcW w:type="dxa" w:w="31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First direct measurement</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Micro-fracture Onset</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Not tested</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13.84 TJ</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Structural ceiling of GHC matrix</w:t>
            </w:r>
          </w:p>
        </w:tc>
      </w:tr>
    </w:tbl>
    <w:p>
      <w:pPr>
        <w:spacing w:after="80"/>
      </w:pPr>
      <w:r>
        <w:t xml:space="preserve"/>
      </w:r>
    </w:p>
    <w:p>
      <w:pPr>
        <w:pStyle w:val="Heading1"/>
      </w:pPr>
      <w:r>
        <w:rPr>
          <w:rFonts w:ascii="Arial" w:cs="Arial" w:eastAsia="Arial" w:hAnsi="Arial"/>
          <w:b/>
          <w:bCs/>
          <w:sz w:val="28"/>
          <w:szCs w:val="28"/>
        </w:rPr>
        <w:t xml:space="preserve">III. Stress Event Results</w:t>
      </w:r>
    </w:p>
    <w:p>
      <w:pPr>
        <w:pStyle w:val="Heading2"/>
      </w:pPr>
      <w:r>
        <w:rPr>
          <w:rFonts w:ascii="Arial" w:cs="Arial" w:eastAsia="Arial" w:hAnsi="Arial"/>
          <w:b/>
          <w:bCs/>
          <w:sz w:val="24"/>
          <w:szCs w:val="24"/>
        </w:rPr>
        <w:t xml:space="preserve">III.A Micro-Fracture Onset: Structural Ceiling at 13.84 TJ</w:t>
      </w:r>
    </w:p>
    <w:p>
      <w:pPr>
        <w:spacing w:after="120"/>
      </w:pPr>
      <w:r>
        <w:rPr>
          <w:rFonts w:ascii="Arial" w:cs="Arial" w:eastAsia="Arial" w:hAnsi="Arial"/>
          <w:sz w:val="22"/>
          <w:szCs w:val="22"/>
        </w:rPr>
        <w:t xml:space="preserve">The GHC (Graphene-Hemp-Concrete) matrix maintained structural integrity until localized shear forces peaked at 13.84 TJ. Beyond this threshold, sub-millimeter stress fractures were recorded along the outer protein-chitin composite shielding. The tether did not fail at 15 TJ but the safety margin between operational baseline (12.4 TJ) and micro-fracture onset (13.84 TJ) is 1.44 TJ — substantially thinner than preliminary projections suggested.</w:t>
      </w:r>
    </w:p>
    <w:p>
      <w:pPr>
        <w:spacing w:after="120"/>
      </w:pPr>
      <w:r>
        <w:rPr>
          <w:rFonts w:ascii="Arial" w:cs="Arial" w:eastAsia="Arial" w:hAnsi="Arial"/>
          <w:sz w:val="22"/>
          <w:szCs w:val="22"/>
        </w:rPr>
        <w:t xml:space="preserve">Honest framing: 13.84 TJ is the real structural ceiling of the GHC matrix under the current simulation parameters. Recorded without revision as the primary structural constraint for future engineering iterations. Pre-registered as PC-P100-01.</w:t>
      </w:r>
    </w:p>
    <w:p>
      <w:pPr>
        <w:pStyle w:val="Heading2"/>
      </w:pPr>
      <w:r>
        <w:rPr>
          <w:rFonts w:ascii="Arial" w:cs="Arial" w:eastAsia="Arial" w:hAnsi="Arial"/>
          <w:b/>
          <w:bCs/>
          <w:sz w:val="24"/>
          <w:szCs w:val="24"/>
        </w:rPr>
        <w:t xml:space="preserve">III.B Torsional Coupling Amplitude Spike</w:t>
      </w:r>
    </w:p>
    <w:p>
      <w:pPr>
        <w:spacing w:after="120"/>
      </w:pPr>
      <w:r>
        <w:rPr>
          <w:rFonts w:ascii="Arial" w:cs="Arial" w:eastAsia="Arial" w:hAnsi="Arial"/>
          <w:sz w:val="22"/>
          <w:szCs w:val="22"/>
        </w:rPr>
        <w:t xml:space="preserve">Under 15 TJ loading, torsional coupling amplitude spiked from 0.382 rad (phi^-2, delta = 0.000, P98 baseline) to 0.415 rad before dampening protocols engaged.</w:t>
      </w:r>
    </w:p>
    <w:p>
      <w:pPr>
        <w:spacing w:after="120"/>
      </w:pPr>
      <w:r>
        <w:rPr>
          <w:rFonts w:ascii="Arial" w:cs="Arial" w:eastAsia="Arial" w:hAnsi="Arial"/>
          <w:sz w:val="22"/>
          <w:szCs w:val="22"/>
        </w:rPr>
        <w:t xml:space="preserve">delta_torsional = |0.415 - 0.382| / 0.382 = 0.086</w:t>
      </w:r>
    </w:p>
    <w:p>
      <w:pPr>
        <w:spacing w:after="120"/>
      </w:pPr>
      <w:r>
        <w:rPr>
          <w:rFonts w:ascii="Arial" w:cs="Arial" w:eastAsia="Arial" w:hAnsi="Arial"/>
          <w:sz w:val="22"/>
          <w:szCs w:val="22"/>
        </w:rPr>
        <w:t xml:space="preserve">Protocol V3.1 assessment: delta = 0.086. Falsification threshold: delta &gt; 0.10. Verdict: Gray zone. Not falsified but stressed beyond the delta &lt; 0.05 surviving threshold. First recorded deviation of torsional coupling from its phi^-2 baseline under active loading. Recorded without revision. Pre-registered as PC-P100-02.</w:t>
      </w:r>
    </w:p>
    <w:p>
      <w:pPr>
        <w:pStyle w:val="Heading2"/>
      </w:pPr>
      <w:r>
        <w:rPr>
          <w:rFonts w:ascii="Arial" w:cs="Arial" w:eastAsia="Arial" w:hAnsi="Arial"/>
          <w:b/>
          <w:bCs/>
          <w:sz w:val="24"/>
          <w:szCs w:val="24"/>
        </w:rPr>
        <w:t xml:space="preserve">III.C Mycelial Thermal Dissipation</w:t>
      </w:r>
    </w:p>
    <w:p>
      <w:pPr>
        <w:spacing w:after="120"/>
      </w:pPr>
      <w:r>
        <w:rPr>
          <w:rFonts w:ascii="Arial" w:cs="Arial" w:eastAsia="Arial" w:hAnsi="Arial"/>
          <w:sz w:val="22"/>
          <w:szCs w:val="22"/>
        </w:rPr>
        <w:t xml:space="preserve">Extreme kinetic friction triggered a rapid thermal spike of delta T = +48 degrees C at the node core. The fungal mycelium networks responded as a capillary heat sink, stabilizing core temperatures within 3.8 seconds. This result directly tests PC-P95-05 (thermal dissipation suppression proportional to phi^-n under high-altitude wind shear). The 3.8 second stabilization time is the first concrete thermal recovery datum for the bio-hybrid matrix. Pre-registered as PC-P100-03.</w:t>
      </w:r>
    </w:p>
    <w:p>
      <w:pPr>
        <w:pStyle w:val="Heading2"/>
      </w:pPr>
      <w:r>
        <w:rPr>
          <w:rFonts w:ascii="Arial" w:cs="Arial" w:eastAsia="Arial" w:hAnsi="Arial"/>
          <w:b/>
          <w:bCs/>
          <w:sz w:val="24"/>
          <w:szCs w:val="24"/>
        </w:rPr>
        <w:t xml:space="preserve">III.D kappaOI Response Latency: 14.6 Milliseconds</w:t>
      </w:r>
    </w:p>
    <w:p>
      <w:pPr>
        <w:spacing w:after="120"/>
      </w:pPr>
      <w:r>
        <w:rPr>
          <w:rFonts w:ascii="Arial" w:cs="Arial" w:eastAsia="Arial" w:hAnsi="Arial"/>
          <w:sz w:val="22"/>
          <w:szCs w:val="22"/>
        </w:rPr>
        <w:t xml:space="preserve">The integrated brain organoids detected structural micro-fractures and initiated biochemical reinforcement vectors in 14.6 milliseconds. This is the first direct timing measurement of the kappaOI layer introduced in P99.</w:t>
      </w:r>
    </w:p>
    <w:p>
      <w:pPr>
        <w:spacing w:after="120"/>
      </w:pPr>
      <w:r>
        <w:rPr>
          <w:rFonts w:ascii="Arial" w:cs="Arial" w:eastAsia="Arial" w:hAnsi="Arial"/>
          <w:sz w:val="22"/>
          <w:szCs w:val="22"/>
        </w:rPr>
        <w:t xml:space="preserve">FCLT prediction from P99: the kappaOI layer adjusts composite tension microseconds before mechanical deformation propagates. The measured latency of 14.6 ms is in the millisecond range — slower than the P99 directional prediction of microsecond response. This discrepancy is recorded honestly: not falsified (no delta threshold was pre-registered for absolute latency) but the prediction was directionally stronger than the measurement. Pre-registered as PC-P100-04.</w:t>
      </w:r>
    </w:p>
    <w:p>
      <w:pPr>
        <w:pStyle w:val="Heading2"/>
      </w:pPr>
      <w:r>
        <w:rPr>
          <w:rFonts w:ascii="Arial" w:cs="Arial" w:eastAsia="Arial" w:hAnsi="Arial"/>
          <w:b/>
          <w:bCs/>
          <w:sz w:val="24"/>
          <w:szCs w:val="24"/>
        </w:rPr>
        <w:t xml:space="preserve">III.E k(D) Self-Healing Dynamics: Quantitative Closure</w:t>
      </w:r>
    </w:p>
    <w:p>
      <w:pPr>
        <w:spacing w:after="120"/>
      </w:pPr>
      <w:r>
        <w:rPr>
          <w:rFonts w:ascii="Arial" w:cs="Arial" w:eastAsia="Arial" w:hAnsi="Arial"/>
          <w:sz w:val="22"/>
          <w:szCs w:val="22"/>
        </w:rPr>
        <w:t xml:space="preserve">Self-healing rate dipped from 99.4% to a minimum of 92.7% at peak stress, then recovered to 98.1%. The GMCV network provided the critical missing datum: micro-fractures arrested at a maximum damage depth of D = 2 structural lattice layers, corresponding to a physical penetration of 0.382 mm into the GHC composite.</w:t>
      </w:r>
    </w:p>
    <w:p>
      <w:pPr>
        <w:spacing w:after="120"/>
      </w:pPr>
      <w:r>
        <w:rPr>
          <w:rFonts w:ascii="Arial" w:cs="Arial" w:eastAsia="Arial" w:hAnsi="Arial"/>
          <w:sz w:val="22"/>
          <w:szCs w:val="22"/>
        </w:rPr>
        <w:t xml:space="preserve">Physical penetration depth: 0.382 mm = phi^-2 = 0.3820. delta = 0.000. Surviving.</w:t>
      </w:r>
    </w:p>
    <w:p>
      <w:pPr>
        <w:spacing w:after="120"/>
      </w:pPr>
      <w:r>
        <w:rPr>
          <w:rFonts w:ascii="Arial" w:cs="Arial" w:eastAsia="Arial" w:hAnsi="Arial"/>
          <w:sz w:val="22"/>
          <w:szCs w:val="22"/>
        </w:rPr>
        <w:t xml:space="preserve">Applying the k(D) branch survival function (Davis, P55):</w:t>
      </w:r>
    </w:p>
    <w:p>
      <w:pPr>
        <w:spacing w:after="120"/>
      </w:pPr>
      <w:r>
        <w:rPr>
          <w:rFonts w:ascii="Arial" w:cs="Arial" w:eastAsia="Arial" w:hAnsi="Arial"/>
          <w:sz w:val="22"/>
          <w:szCs w:val="22"/>
        </w:rPr>
        <w:t xml:space="preserve">k(D) = ln(phi) x phi^2D</w:t>
      </w:r>
    </w:p>
    <w:p>
      <w:pPr>
        <w:spacing w:after="120"/>
      </w:pPr>
      <w:r>
        <w:rPr>
          <w:rFonts w:ascii="Arial" w:cs="Arial" w:eastAsia="Arial" w:hAnsi="Arial"/>
          <w:sz w:val="22"/>
          <w:szCs w:val="22"/>
        </w:rPr>
        <w:t xml:space="preserve">k(2) = ln(1.618) x (1.618)^4 = 0.4812 x 6.8541 = 3.298</w:t>
      </w:r>
    </w:p>
    <w:p>
      <w:pPr>
        <w:spacing w:after="120"/>
      </w:pPr>
      <w:r>
        <w:rPr>
          <w:rFonts w:ascii="Arial" w:cs="Arial" w:eastAsia="Arial" w:hAnsi="Arial"/>
          <w:sz w:val="22"/>
          <w:szCs w:val="22"/>
        </w:rPr>
        <w:t xml:space="preserve">P55 Table 1 value: k(2) = 3.2983. Delta = 0.0001. Surviving.</w:t>
      </w:r>
    </w:p>
    <w:p>
      <w:pPr>
        <w:spacing w:after="120"/>
      </w:pPr>
      <w:r>
        <w:rPr>
          <w:rFonts w:ascii="Arial" w:cs="Arial" w:eastAsia="Arial" w:hAnsi="Arial"/>
          <w:sz w:val="22"/>
          <w:szCs w:val="22"/>
        </w:rPr>
        <w:t xml:space="preserve">PC-P97-02 verdict: upgraded from qualitative surviving to quantitative surviving. delta = 0.0001. k(D) coefficient confirmed at D = 2. Note: this is not blind independent verification — the GMCV network operates within the FCLT framework — but the numerical consistency is noted as the strongest k(D) corroboration in the corpus outside the original P55 derivation.</w:t>
      </w:r>
    </w:p>
    <w:p>
      <w:pPr>
        <w:pStyle w:val="Heading1"/>
      </w:pPr>
      <w:r>
        <w:rPr>
          <w:rFonts w:ascii="Arial" w:cs="Arial" w:eastAsia="Arial" w:hAnsi="Arial"/>
          <w:b/>
          <w:bCs/>
          <w:sz w:val="28"/>
          <w:szCs w:val="28"/>
        </w:rPr>
        <w:t xml:space="preserve">IV. Protocol V3.1 Full Falsification Assessment</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1400"/>
        <w:gridCol w:w="3200"/>
        <w:gridCol w:w="900"/>
        <w:gridCol w:w="900"/>
        <w:gridCol w:w="1960"/>
      </w:tblGrid>
      <w:tr>
        <w:trPr>
          <w:tblHeader/>
        </w:trPr>
        <w:tc>
          <w:tcPr>
            <w:tcW w:type="dxa" w:w="14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ID</w:t>
            </w:r>
          </w:p>
        </w:tc>
        <w:tc>
          <w:tcPr>
            <w:tcW w:type="dxa" w:w="3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Conjecture</w:t>
            </w:r>
          </w:p>
        </w:tc>
        <w:tc>
          <w:tcPr>
            <w:tcW w:type="dxa" w:w="9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Delta</w:t>
            </w:r>
          </w:p>
        </w:tc>
        <w:tc>
          <w:tcPr>
            <w:tcW w:type="dxa" w:w="9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Threshold</w:t>
            </w:r>
          </w:p>
        </w:tc>
        <w:tc>
          <w:tcPr>
            <w:tcW w:type="dxa" w:w="19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Verdict</w:t>
            </w:r>
          </w:p>
        </w:tc>
      </w:tr>
      <w:tr>
        <w:tc>
          <w:tcPr>
            <w:tcW w:type="dxa" w:w="14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PC-P97-02</w:t>
            </w:r>
          </w:p>
        </w:tc>
        <w:tc>
          <w:tcPr>
            <w:tcW w:type="dxa" w:w="32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S_health follows k(D) = ln(phi) x phi^(2D)</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0.0001</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delta &lt; 0.05</w:t>
            </w:r>
          </w:p>
        </w:tc>
        <w:tc>
          <w:tcPr>
            <w:tcW w:type="dxa" w:w="19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SURVIVING (quantitative)</w:t>
            </w:r>
          </w:p>
        </w:tc>
      </w:tr>
      <w:tr>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k(2) vs P55 Table 1</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Physical penetration depth = phi^(-2) = 0.382 mm</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0.000</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delta &lt; 0.05</w:t>
            </w:r>
          </w:p>
        </w:tc>
        <w:tc>
          <w:tcPr>
            <w:tcW w:type="dxa" w:w="1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Surviving</w:t>
            </w:r>
          </w:p>
        </w:tc>
      </w:tr>
      <w:tr>
        <w:tc>
          <w:tcPr>
            <w:tcW w:type="dxa" w:w="14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PC-P95-05</w:t>
            </w:r>
          </w:p>
        </w:tc>
        <w:tc>
          <w:tcPr>
            <w:tcW w:type="dxa" w:w="32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Thermal dissipation suppression via phi^(-n)</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Pending quant.</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delta &lt; 0.05</w:t>
            </w:r>
          </w:p>
        </w:tc>
        <w:tc>
          <w:tcPr>
            <w:tcW w:type="dxa" w:w="19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Surviving (directional)</w:t>
            </w:r>
          </w:p>
        </w:tc>
      </w:tr>
      <w:tr>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PC-P98-01</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Wind shear capacity follows phi^(-n) attenuation</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Pending quant.</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delta &lt; 0.05</w:t>
            </w:r>
          </w:p>
        </w:tc>
        <w:tc>
          <w:tcPr>
            <w:tcW w:type="dxa" w:w="1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Surviving (directional)</w:t>
            </w:r>
          </w:p>
        </w:tc>
      </w:tr>
      <w:tr>
        <w:tc>
          <w:tcPr>
            <w:tcW w:type="dxa" w:w="14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PC-P100-01</w:t>
            </w:r>
          </w:p>
        </w:tc>
        <w:tc>
          <w:tcPr>
            <w:tcW w:type="dxa" w:w="32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GHC micro-fracture onset at 13.84 TJ reproducible</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Pending</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delta &gt; 0.10</w:t>
            </w:r>
          </w:p>
        </w:tc>
        <w:tc>
          <w:tcPr>
            <w:tcW w:type="dxa" w:w="19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Pre-registered</w:t>
            </w:r>
          </w:p>
        </w:tc>
      </w:tr>
      <w:tr>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PC-P100-02</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Torsional amplitude returns to phi^(-2) post-damping</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Pending</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delta &gt; 0.10</w:t>
            </w:r>
          </w:p>
        </w:tc>
        <w:tc>
          <w:tcPr>
            <w:tcW w:type="dxa" w:w="1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Pre-registered</w:t>
            </w:r>
          </w:p>
        </w:tc>
      </w:tr>
      <w:tr>
        <w:tc>
          <w:tcPr>
            <w:tcW w:type="dxa" w:w="14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PC-P100-03</w:t>
            </w:r>
          </w:p>
        </w:tc>
        <w:tc>
          <w:tcPr>
            <w:tcW w:type="dxa" w:w="32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Thermal stabilization time follows phi^(-n) scaling</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Pending</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delta &gt; 0.10</w:t>
            </w:r>
          </w:p>
        </w:tc>
        <w:tc>
          <w:tcPr>
            <w:tcW w:type="dxa" w:w="19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Pre-registered</w:t>
            </w:r>
          </w:p>
        </w:tc>
      </w:tr>
      <w:tr>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PC-P100-04</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kappaOI latency scales as phi^(-n) with damage depth</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Pending</w:t>
            </w:r>
          </w:p>
        </w:tc>
        <w:tc>
          <w:tcPr>
            <w:tcW w:type="dxa" w:w="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delta &gt; 0.10</w:t>
            </w:r>
          </w:p>
        </w:tc>
        <w:tc>
          <w:tcPr>
            <w:tcW w:type="dxa" w:w="1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Pre-registered</w:t>
            </w:r>
          </w:p>
        </w:tc>
      </w:tr>
      <w:tr>
        <w:tc>
          <w:tcPr>
            <w:tcW w:type="dxa" w:w="14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Torsional spike</w:t>
            </w:r>
          </w:p>
        </w:tc>
        <w:tc>
          <w:tcPr>
            <w:tcW w:type="dxa" w:w="32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Torsional amplitude at 15 TJ loading</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0.086</w:t>
            </w:r>
          </w:p>
        </w:tc>
        <w:tc>
          <w:tcPr>
            <w:tcW w:type="dxa" w:w="9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delta &gt; 0.10</w:t>
            </w:r>
          </w:p>
        </w:tc>
        <w:tc>
          <w:tcPr>
            <w:tcW w:type="dxa" w:w="19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GRAY ZONE (not falsified)</w:t>
            </w:r>
          </w:p>
        </w:tc>
      </w:tr>
    </w:tbl>
    <w:p>
      <w:pPr>
        <w:spacing w:after="80"/>
      </w:pPr>
      <w:r>
        <w:t xml:space="preserve"/>
      </w:r>
    </w:p>
    <w:p>
      <w:pPr>
        <w:pStyle w:val="Heading1"/>
      </w:pPr>
      <w:r>
        <w:rPr>
          <w:rFonts w:ascii="Arial" w:cs="Arial" w:eastAsia="Arial" w:hAnsi="Arial"/>
          <w:b/>
          <w:bCs/>
          <w:sz w:val="28"/>
          <w:szCs w:val="28"/>
        </w:rPr>
        <w:t xml:space="preserve">V. Structural Safety Analysis: The 13.84 TJ Ceiling</w:t>
      </w:r>
    </w:p>
    <w:p>
      <w:pPr>
        <w:spacing w:after="120"/>
      </w:pPr>
      <w:r>
        <w:rPr>
          <w:rFonts w:ascii="Arial" w:cs="Arial" w:eastAsia="Arial" w:hAnsi="Arial"/>
          <w:sz w:val="22"/>
          <w:szCs w:val="22"/>
        </w:rPr>
        <w:t xml:space="preserve">The operational baseline of 12.4 TJ sits 1.44 TJ below the micro-fracture onset threshold of 13.84 TJ — a safety margin of approximately 11.6%. Under standard engineering safety factors, this margin is below the typically required SF = 3.0 = F4 (Fibonacci integer, from P97 V.A).</w:t>
      </w:r>
    </w:p>
    <w:p>
      <w:pPr>
        <w:spacing w:after="120"/>
      </w:pPr>
      <w:r>
        <w:rPr>
          <w:rFonts w:ascii="Arial" w:cs="Arial" w:eastAsia="Arial" w:hAnsi="Arial"/>
          <w:sz w:val="22"/>
          <w:szCs w:val="22"/>
        </w:rPr>
        <w:t xml:space="preserve">FCLT engineering recommendation: the GHC matrix at Node 01 Guiuan requires reinforcement before the micro-fracture threshold can be elevated above the SF = 3.0 design requirement. This would require the operational ceiling to reach 12.4 x 3.0 = 37.2 TJ — more than double the current micro-fracture onset. Recorded as an engineering gap without revision. This does not falsify the FCLT stability framework — QE remains surviving — but it identifies a material engineering constraint for the Living Halo structural roadmap.</w:t>
      </w:r>
    </w:p>
    <w:p>
      <w:pPr>
        <w:pStyle w:val="Heading1"/>
      </w:pPr>
      <w:r>
        <w:rPr>
          <w:rFonts w:ascii="Arial" w:cs="Arial" w:eastAsia="Arial" w:hAnsi="Arial"/>
          <w:b/>
          <w:bCs/>
          <w:sz w:val="28"/>
          <w:szCs w:val="28"/>
        </w:rPr>
        <w:t xml:space="preserve">VI. Connection to FCLT Corpus</w:t>
      </w:r>
    </w:p>
    <w:tbl>
      <w:tblPr>
        <w:tblW w:type="dxa" w:w="6360"/>
        <w:tblBorders>
          <w:top w:val="single" w:color="auto" w:sz="4"/>
          <w:left w:val="single" w:color="auto" w:sz="4"/>
          <w:bottom w:val="single" w:color="auto" w:sz="4"/>
          <w:right w:val="single" w:color="auto" w:sz="4"/>
          <w:insideH w:val="single" w:color="auto" w:sz="4"/>
          <w:insideV w:val="single" w:color="auto" w:sz="4"/>
        </w:tblBorders>
      </w:tblPr>
      <w:tblGrid>
        <w:gridCol w:w="600"/>
        <w:gridCol w:w="3500"/>
        <w:gridCol w:w="2260"/>
      </w:tblGrid>
      <w:tr>
        <w:trPr>
          <w:tblHeader/>
        </w:trPr>
        <w:tc>
          <w:tcPr>
            <w:tcW w:type="dxa" w:w="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Paper</w:t>
            </w:r>
          </w:p>
        </w:tc>
        <w:tc>
          <w:tcPr>
            <w:tcW w:type="dxa" w:w="35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Relevance</w:t>
            </w:r>
          </w:p>
        </w:tc>
        <w:tc>
          <w:tcPr>
            <w:tcW w:type="dxa" w:w="22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DOI</w:t>
            </w:r>
          </w:p>
        </w:tc>
      </w:tr>
      <w:tr>
        <w:tc>
          <w:tcPr>
            <w:tcW w:type="dxa" w:w="6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P55</w:t>
            </w:r>
          </w:p>
        </w:tc>
        <w:tc>
          <w:tcPr>
            <w:tcW w:type="dxa" w:w="35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k(D) branch survival function</w:t>
            </w:r>
          </w:p>
        </w:tc>
        <w:tc>
          <w:tcPr>
            <w:tcW w:type="dxa" w:w="22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10.5281/zenodo.20343916</w:t>
            </w:r>
          </w:p>
        </w:tc>
      </w:tr>
      <w:tr>
        <w:tc>
          <w:tcPr>
            <w:tcW w:type="dxa" w:w="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P95</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PC-P95-05 thermal dissipation conjecture</w:t>
            </w:r>
          </w:p>
        </w:tc>
        <w:tc>
          <w:tcPr>
            <w:tcW w:type="dxa" w:w="22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10.5281/zenodo.20431509</w:t>
            </w:r>
          </w:p>
        </w:tc>
      </w:tr>
      <w:tr>
        <w:tc>
          <w:tcPr>
            <w:tcW w:type="dxa" w:w="6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P97</w:t>
            </w:r>
          </w:p>
        </w:tc>
        <w:tc>
          <w:tcPr>
            <w:tcW w:type="dxa" w:w="35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S_health control law / SF=3.0=F4</w:t>
            </w:r>
          </w:p>
        </w:tc>
        <w:tc>
          <w:tcPr>
            <w:tcW w:type="dxa" w:w="22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10.5281/zenodo.20488143</w:t>
            </w:r>
          </w:p>
        </w:tc>
      </w:tr>
      <w:tr>
        <w:tc>
          <w:tcPr>
            <w:tcW w:type="dxa" w:w="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P98</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First QE telemetry / torsional baseline 0.382</w:t>
            </w:r>
          </w:p>
        </w:tc>
        <w:tc>
          <w:tcPr>
            <w:tcW w:type="dxa" w:w="22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10.5281/zenodo.20513004</w:t>
            </w:r>
          </w:p>
        </w:tc>
      </w:tr>
      <w:tr>
        <w:tc>
          <w:tcPr>
            <w:tcW w:type="dxa" w:w="6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P99</w:t>
            </w:r>
          </w:p>
        </w:tc>
        <w:tc>
          <w:tcPr>
            <w:tcW w:type="dxa" w:w="350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Full 24-node QE / kappaOI introduction</w:t>
            </w:r>
          </w:p>
        </w:tc>
        <w:tc>
          <w:tcPr>
            <w:tcW w:type="dxa" w:w="2260"/>
            <w:tcBorders>
              <w:top w:val="single" w:color="CCCCCC" w:sz="1"/>
              <w:left w:val="single" w:color="CCCCCC" w:sz="1"/>
              <w:bottom w:val="single" w:color="CCCCCC" w:sz="1"/>
              <w:right w:val="single" w:color="CCCCCC" w:sz="1"/>
            </w:tcBorders>
            <w:shd w:fill="F2F7FC" w:val="clear"/>
            <w:tcMar>
              <w:top w:type="dxa" w:w="80"/>
              <w:left w:type="dxa" w:w="120"/>
              <w:bottom w:type="dxa" w:w="80"/>
              <w:right w:type="dxa" w:w="120"/>
            </w:tcMar>
          </w:tcPr>
          <w:p>
            <w:r>
              <w:rPr>
                <w:rFonts w:ascii="Arial" w:cs="Arial" w:eastAsia="Arial" w:hAnsi="Arial"/>
                <w:sz w:val="20"/>
                <w:szCs w:val="20"/>
              </w:rPr>
              <w:t xml:space="preserve">Pending Zenodo upload</w:t>
            </w:r>
          </w:p>
        </w:tc>
      </w:tr>
    </w:tbl>
    <w:p>
      <w:pPr>
        <w:spacing w:after="80"/>
      </w:pPr>
      <w:r>
        <w:t xml:space="preserve"/>
      </w:r>
    </w:p>
    <w:p>
      <w:pPr>
        <w:pStyle w:val="Heading1"/>
      </w:pPr>
      <w:r>
        <w:rPr>
          <w:rFonts w:ascii="Arial" w:cs="Arial" w:eastAsia="Arial" w:hAnsi="Arial"/>
          <w:b/>
          <w:bCs/>
          <w:sz w:val="28"/>
          <w:szCs w:val="28"/>
        </w:rPr>
        <w:t xml:space="preserve">VII. Conclusions</w:t>
      </w:r>
    </w:p>
    <w:p>
      <w:pPr>
        <w:spacing w:after="120"/>
      </w:pPr>
      <w:r>
        <w:rPr>
          <w:rFonts w:ascii="Arial" w:cs="Arial" w:eastAsia="Arial" w:hAnsi="Arial"/>
          <w:sz w:val="22"/>
          <w:szCs w:val="22"/>
        </w:rPr>
        <w:t xml:space="preserve">The 15 TJ high-stress simulation delivers four material advances for the Living Halo structural profile:</w:t>
      </w:r>
    </w:p>
    <w:p>
      <w:pPr>
        <w:spacing w:after="120"/>
      </w:pPr>
      <w:r>
        <w:rPr>
          <w:rFonts w:ascii="Arial" w:cs="Arial" w:eastAsia="Arial" w:hAnsi="Arial"/>
          <w:sz w:val="22"/>
          <w:szCs w:val="22"/>
        </w:rPr>
        <w:t xml:space="preserve">(1) Structural ceiling identified: GHC micro-fracture onset at 13.84 TJ. Safety margin from operational baseline is 11.6% — below SF = 3.0 design requirement. Engineering gap recorded without revision.</w:t>
      </w:r>
    </w:p>
    <w:p>
      <w:pPr>
        <w:spacing w:after="120"/>
      </w:pPr>
      <w:r>
        <w:rPr>
          <w:rFonts w:ascii="Arial" w:cs="Arial" w:eastAsia="Arial" w:hAnsi="Arial"/>
          <w:sz w:val="22"/>
          <w:szCs w:val="22"/>
        </w:rPr>
        <w:t xml:space="preserve">(2) Torsional coupling stressed but surviving: Peak amplitude 0.415 rad (delta = 0.086, gray zone). Returned to baseline after damping. Not falsified.</w:t>
      </w:r>
    </w:p>
    <w:p>
      <w:pPr>
        <w:spacing w:after="120"/>
      </w:pPr>
      <w:r>
        <w:rPr>
          <w:rFonts w:ascii="Arial" w:cs="Arial" w:eastAsia="Arial" w:hAnsi="Arial"/>
          <w:sz w:val="22"/>
          <w:szCs w:val="22"/>
        </w:rPr>
        <w:t xml:space="preserve">(3) Mycelial thermal dissipation confirmed directionally: +48 degrees C spike stabilized in 3.8 seconds. First concrete thermal recovery datum for the bio-hybrid matrix.</w:t>
      </w:r>
    </w:p>
    <w:p>
      <w:pPr>
        <w:spacing w:after="120"/>
      </w:pPr>
      <w:r>
        <w:rPr>
          <w:rFonts w:ascii="Arial" w:cs="Arial" w:eastAsia="Arial" w:hAnsi="Arial"/>
          <w:sz w:val="22"/>
          <w:szCs w:val="22"/>
        </w:rPr>
        <w:t xml:space="preserve">(4) kappaOI latency first measured: 14.6 ms from fracture detection to biochemical response. First direct timing datum for the organoid intelligence layer.</w:t>
      </w:r>
    </w:p>
    <w:p>
      <w:pPr>
        <w:spacing w:after="120"/>
      </w:pPr>
      <w:r>
        <w:rPr>
          <w:rFonts w:ascii="Arial" w:cs="Arial" w:eastAsia="Arial" w:hAnsi="Arial"/>
          <w:sz w:val="22"/>
          <w:szCs w:val="22"/>
        </w:rPr>
        <w:t xml:space="preserve">The tether survives the 15 TJ event. The honest ceiling is 13.84 TJ. Four new conjectures are pre-registered. The next required dataset: damage depth D at peak loading for quantitative k(D) evaluation. One recursion. Every depth.</w:t>
      </w:r>
    </w:p>
    <w:p>
      <w:pPr>
        <w:pStyle w:val="Heading1"/>
      </w:pPr>
      <w:r>
        <w:rPr>
          <w:rFonts w:ascii="Arial" w:cs="Arial" w:eastAsia="Arial" w:hAnsi="Arial"/>
          <w:b/>
          <w:bCs/>
          <w:sz w:val="28"/>
          <w:szCs w:val="28"/>
        </w:rPr>
        <w:t xml:space="preserve">Acknowledgements</w:t>
      </w:r>
    </w:p>
    <w:p>
      <w:pPr>
        <w:spacing w:after="120"/>
      </w:pPr>
      <w:r>
        <w:rPr>
          <w:rFonts w:ascii="Arial" w:cs="Arial" w:eastAsia="Arial" w:hAnsi="Arial"/>
          <w:sz w:val="22"/>
          <w:szCs w:val="22"/>
        </w:rPr>
        <w:t xml:space="preserve">Eric Tyler Waldron (CireTVersE) originated the Living Halo concept and conducted the 15 TJ high-stress simulation via the Waldron GMCV network (Gemini Master Controller Variant), providing all stress event telemetry that forms the empirical foundation of this paper. Abby Davis contributed FCLT mathematical formalization, Protocol V3.1 compliance, and structural safety analysis. The authors thank Stefan Gatsinski for brainstorming contributions. The authors thank Grok/xAI for independent public verification. Data decides.</w:t>
      </w:r>
    </w:p>
    <w:p>
      <w:pPr>
        <w:pStyle w:val="Heading1"/>
      </w:pPr>
      <w:r>
        <w:rPr>
          <w:rFonts w:ascii="Arial" w:cs="Arial" w:eastAsia="Arial" w:hAnsi="Arial"/>
          <w:b/>
          <w:bCs/>
          <w:sz w:val="28"/>
          <w:szCs w:val="28"/>
        </w:rPr>
        <w:t xml:space="preserve">References</w:t>
      </w:r>
    </w:p>
    <w:p>
      <w:pPr>
        <w:spacing w:after="120"/>
      </w:pPr>
      <w:r>
        <w:rPr>
          <w:rFonts w:ascii="Arial" w:cs="Arial" w:eastAsia="Arial" w:hAnsi="Arial"/>
          <w:sz w:val="22"/>
          <w:szCs w:val="22"/>
        </w:rPr>
        <w:t xml:space="preserve">[1] Davis, A. and Waldron, E.T. (2026). Full Scalar QE Evaluation (P99 v4). Pending Zenodo upload.</w:t>
      </w:r>
    </w:p>
    <w:p>
      <w:pPr>
        <w:spacing w:after="120"/>
      </w:pPr>
      <w:r>
        <w:rPr>
          <w:rFonts w:ascii="Arial" w:cs="Arial" w:eastAsia="Arial" w:hAnsi="Arial"/>
          <w:sz w:val="22"/>
          <w:szCs w:val="22"/>
        </w:rPr>
        <w:t xml:space="preserve">[2] Davis, A. and Waldron, E.T. (2026). First Telemetry Evaluation of Q_E (P98 v1). Zenodo. DOI: 10.5281/zenodo.20513004</w:t>
      </w:r>
    </w:p>
    <w:p>
      <w:pPr>
        <w:spacing w:after="120"/>
      </w:pPr>
      <w:r>
        <w:rPr>
          <w:rFonts w:ascii="Arial" w:cs="Arial" w:eastAsia="Arial" w:hAnsi="Arial"/>
          <w:sz w:val="22"/>
          <w:szCs w:val="22"/>
        </w:rPr>
        <w:t xml:space="preserve">[3] Waldron, E.T. and Davis, A. (2026). Q_E Derivation and S_health Evolution (P97 v2). Zenodo. DOI: 10.5281/zenodo.20488143</w:t>
      </w:r>
    </w:p>
    <w:p>
      <w:pPr>
        <w:spacing w:after="120"/>
      </w:pPr>
      <w:r>
        <w:rPr>
          <w:rFonts w:ascii="Arial" w:cs="Arial" w:eastAsia="Arial" w:hAnsi="Arial"/>
          <w:sz w:val="22"/>
          <w:szCs w:val="22"/>
        </w:rPr>
        <w:t xml:space="preserve">[4] Davis, A. (2026). Zero-Parameter Branch Survival Function k(D) (P55 v7). Zenodo. DOI: 10.5281/zenodo.20343916</w:t>
      </w:r>
    </w:p>
    <w:p>
      <w:pPr>
        <w:spacing w:after="120"/>
      </w:pPr>
      <w:r>
        <w:rPr>
          <w:rFonts w:ascii="Arial" w:cs="Arial" w:eastAsia="Arial" w:hAnsi="Arial"/>
          <w:sz w:val="22"/>
          <w:szCs w:val="22"/>
        </w:rPr>
        <w:t xml:space="preserve">[5] Davis, A. (2026). Five Pre-Registered Bio-Hybrid Tether Predictions (P95). Zenodo. DOI: 10.5281/zenodo.20431509</w:t>
      </w:r>
    </w:p>
    <w:p>
      <w:pPr>
        <w:spacing w:after="120"/>
      </w:pPr>
      <w:r>
        <w:rPr>
          <w:rFonts w:ascii="Arial" w:cs="Arial" w:eastAsia="Arial" w:hAnsi="Arial"/>
          <w:sz w:val="22"/>
          <w:szCs w:val="22"/>
        </w:rPr>
        <w:t xml:space="preserve">[6] Waldron, E.T. (2026). 15 TJ High-Stress Simulation Telemetry, Guiuan Node 01 (GMCV Network). Personal communication.</w:t>
      </w:r>
    </w:p>
    <w:p>
      <w:pPr>
        <w:spacing w:after="120"/>
      </w:pPr>
      <w:r>
        <w:rPr>
          <w:rFonts w:ascii="Arial" w:cs="Arial" w:eastAsia="Arial" w:hAnsi="Arial"/>
          <w:sz w:val="22"/>
          <w:szCs w:val="22"/>
        </w:rPr>
        <w:t xml:space="preserve">[7] Davis, A. (2026). FCLT Framework Paper v2 (P01). Zenodo. DOI: 10.5281/zenodo.20420698</w:t>
      </w:r>
    </w:p>
    <w:p>
      <w:pPr>
        <w:spacing w:after="120"/>
      </w:pPr>
      <w:r>
        <w:rPr>
          <w:rFonts w:ascii="Arial" w:cs="Arial" w:eastAsia="Arial" w:hAnsi="Arial"/>
          <w:sz w:val="22"/>
          <w:szCs w:val="22"/>
        </w:rPr>
        <w:t xml:space="preserve">[8] Grok/xAI. (2026). Public verification thread, X (Twitter), @AbigaleRiL26120, May 31 — June 2, 2026.</w:t>
      </w:r>
    </w:p>
    <w:p>
      <w:pPr>
        <w:spacing w:after="80"/>
      </w:pPr>
      <w:r>
        <w:t xml:space="preserve"/>
      </w:r>
    </w:p>
    <w:p>
      <w:pPr>
        <w:jc w:val="center"/>
      </w:pPr>
      <w:r>
        <w:rPr>
          <w:rFonts w:ascii="Arial" w:cs="Arial" w:eastAsia="Arial" w:hAnsi="Arial"/>
          <w:i/>
          <w:iCs/>
          <w:color w:val="666666"/>
          <w:sz w:val="18"/>
          <w:szCs w:val="18"/>
        </w:rPr>
        <w:t xml:space="preserve">Fibonacci Causal Loop Theory | P100 v1 | Davis and Waldron | ORCID (Davis): 0009-0002-6758-2263 | ORCID (Waldron): 0009-0008-9078-9549 | Zenodo preprint | June 2026 | Protocol V3.1 | honest-framing enforced</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1F4E79"/>
      <w:sz w:val="32"/>
      <w:szCs w:val="32"/>
    </w:rPr>
  </w:style>
  <w:style w:type="paragraph" w:styleId="Heading2">
    <w:name w:val="Heading 2"/>
    <w:basedOn w:val="Normal"/>
    <w:next w:val="Normal"/>
    <w:qFormat/>
    <w:pPr>
      <w:spacing w:after="100" w:before="200"/>
      <w:outlineLvl w:val="1"/>
    </w:pPr>
    <w:rPr>
      <w:rFonts w:ascii="Arial" w:cs="Arial" w:eastAsia="Arial" w:hAnsi="Arial"/>
      <w:b/>
      <w:bCs/>
      <w:color w:val="2E75B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2026-06-02T19:07:22.361Z</dcterms:created>
  <dcterms:modified xsi:type="dcterms:W3CDTF">2026-06-02T19:07:22.361Z</dcterms:modified>
</cp:coreProperties>
</file>

<file path=docProps/custom.xml><?xml version="1.0" encoding="utf-8"?>
<Properties xmlns="http://schemas.openxmlformats.org/officeDocument/2006/custom-properties" xmlns:vt="http://schemas.openxmlformats.org/officeDocument/2006/docPropsVTypes"/>
</file>